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ponownie triumfuje jako Budowlana Marka Roku oraz Champion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wiodący producent systemów rynnowych i od niedawna również dachowych odnotowuje kolejny sukces. Ponownie zdobywając prestiżowe tytuły - po raz siódmy Budowlanej Marki Roku oraz po raz czwarty Championa Roku udowadnia, że cieszy się niesłabnącym zaufaniem fachowców w segmencie systemów rynnowych.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Galeco w rankingu Budowlana Marka Roku potwierdza zaangażowanie marki w dostarczanie najwyższej jakości produktów i umocnienie się na pozycji lidera systemów rynnowych i dachowych.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niezmiernie dumni z otrzymania kolejny raz tytułów Budowlanej Marki Roku oraz Championa Roku</w:t>
      </w:r>
      <w:r>
        <w:rPr>
          <w:rFonts w:ascii="calibri" w:hAnsi="calibri" w:eastAsia="calibri" w:cs="calibri"/>
          <w:sz w:val="24"/>
          <w:szCs w:val="24"/>
        </w:rPr>
        <w:t xml:space="preserve"> — mówi Magdalena Buryło – Kierownik działu marketingu. 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ogromne uznanie dla pracy całego zespołu, który stale dąży do dostarczania najwyższej jakości, innowacyjnych produktów, które spełniają oczekiwania naszych klientów. Te nagrody stanowią dla nas motywację do dalszego rozwoju i doskonalenia naszych rozwiązań</w:t>
      </w:r>
      <w:r>
        <w:rPr>
          <w:rFonts w:ascii="calibri" w:hAnsi="calibri" w:eastAsia="calibri" w:cs="calibri"/>
          <w:sz w:val="24"/>
          <w:szCs w:val="24"/>
        </w:rPr>
        <w:t xml:space="preserve"> —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Budowlana Marka Roku, prowadzony jest od 2004 roku. To jedyny tego rodzaju ranking w Polsce, oceniający renomę i popularność marek w segmencie budowlanym na podstawie wyników ogólnokrajowych ankiet, przeprowadzanych na reprezentatywnej próbie badawczej w każdej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Budowlana Marka Roku jest uznawany za najbardziej wiarygodną i wszechstronną klasyfikację w Polsce, umożliwiającą identyfikację marek, które cieszą się największym uznaniem i popularnością w swoich segmentach. Badanie przeprowadzane jest w sposób niezależny, a respondenci wskazują marki w sposób spontaniczny, bez podpowiedzi zawartych w kwestionariuszu. Na podstawie ich odpowiedzi tworzone są raporty rynkowe dla każdego segmentu.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aż 82,3% osób planujących budowę lub remont domu jednorodzinnego preferuje produkty oznaczone logo Budowlanej Marki Roku. Ta wysoka wartość potwierdza, że tytuły mają duże znaczenie w branży budowlanej. Przedsiębiorstwa, które zdobywają te prestiżowe nagrody, mogą określać się mianem dostawców najlepszych produktów.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2026-10-30T14:53:07+01:00</dcterms:created>
  <dcterms:modified xsi:type="dcterms:W3CDTF">2026-10-30T14:53:07+01:00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