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triumfuje jako Budowlana Marka Roku oraz Champion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od niedawna również dachowych odnotowuje kolejny sukces. Ponownie zdobywając prestiżowe tytuły - po raz siódmy Budowlanej Marki Roku oraz po raz czwarty Championa Roku udowadnia, że cieszy się niesłabnącym zaufaniem fachowców w segmencie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w rankingu Budowlana Marka Roku potwierdza zaangażowanie marki w dostarczanie najwyższej jakości produktów i umocnienie się na pozycji lidera systemów rynnowych 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niezmiernie dumni z otrzymania kolejny raz tytułów Budowlanej Marki Roku oraz Championa Roku</w:t>
      </w:r>
      <w:r>
        <w:rPr>
          <w:rFonts w:ascii="calibri" w:hAnsi="calibri" w:eastAsia="calibri" w:cs="calibri"/>
          <w:sz w:val="24"/>
          <w:szCs w:val="24"/>
        </w:rPr>
        <w:t xml:space="preserve"> — mówi Magdalena Buryło – Kierownik działu marketingu.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ogromne uznanie dla pracy całego zespołu, który stale dąży do dostarczania najwyższej jakości, innowacyjnych produktów, które spełniają oczekiwania naszych klientów. Te nagrody stanowią dla nas motywację do dalszego rozwoju i doskonalenia naszych rozwiązań</w:t>
      </w:r>
      <w:r>
        <w:rPr>
          <w:rFonts w:ascii="calibri" w:hAnsi="calibri" w:eastAsia="calibri" w:cs="calibri"/>
          <w:sz w:val="24"/>
          <w:szCs w:val="24"/>
        </w:rPr>
        <w:t xml:space="preserve"> —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jest od 2004 roku. To jedyny tego rodzaju ranking w Polsce, oceniający renomę i popularność marek w segmencie budowlanym na podstawie wyników ogólnokrajowych ankiet, przeprowadzanych na reprezentatywnej próbie badawczej w każdej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 jest uznawany za najbardziej wiarygodną i wszechstronną klasyfikację w Polsce, umożliwiającą identyfikację marek, które cieszą się największym uznaniem i popularnością w swoich segmentach. Badanie przeprowadzane jest w sposób niezależny, a respondenci wskazują marki w sposób spontaniczny, bez podpowiedzi zawartych w kwestionariuszu. Na podstawie ich odpowiedzi tworzone są raporty rynkowe dla każdego segmentu.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potwierdza, że tytuły mają duże znaczenie w branży budowlanej. Przedsiębiorstwa, które zdobywają te prestiżowe nagrody, mogą określać się mianem dostawców najlepszych produktów.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2026-05-02T03:17:17+02:00</dcterms:created>
  <dcterms:modified xsi:type="dcterms:W3CDTF">2026-05-02T03:17:17+02:00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